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E95ABD" w:rsidR="001332AE" w:rsidRDefault="00E95ABD" w14:paraId="3B9BF28D" w14:textId="6ED8135E">
      <w:pPr>
        <w:rPr>
          <w:rFonts w:ascii="Arial" w:hAnsi="Arial" w:cs="Arial"/>
          <w:b/>
          <w:bCs/>
          <w:sz w:val="32"/>
          <w:szCs w:val="32"/>
        </w:rPr>
      </w:pPr>
      <w:r>
        <w:rPr>
          <w:rFonts w:ascii="Arial" w:hAnsi="Arial" w:cs="Arial"/>
          <w:b/>
          <w:bCs/>
          <w:sz w:val="32"/>
          <w:szCs w:val="32"/>
        </w:rPr>
        <w:t>E</w:t>
      </w:r>
      <w:r w:rsidRPr="00E95ABD" w:rsidR="00F24A1E">
        <w:rPr>
          <w:rFonts w:ascii="Arial" w:hAnsi="Arial" w:cs="Arial"/>
          <w:b/>
          <w:bCs/>
          <w:sz w:val="32"/>
          <w:szCs w:val="32"/>
        </w:rPr>
        <w:t xml:space="preserve">xample </w:t>
      </w:r>
      <w:r>
        <w:rPr>
          <w:rFonts w:ascii="Arial" w:hAnsi="Arial" w:cs="Arial"/>
          <w:b/>
          <w:bCs/>
          <w:sz w:val="32"/>
          <w:szCs w:val="32"/>
        </w:rPr>
        <w:t>format for</w:t>
      </w:r>
      <w:r w:rsidRPr="00E95ABD" w:rsidR="004360ED">
        <w:rPr>
          <w:rFonts w:ascii="Arial" w:hAnsi="Arial" w:cs="Arial"/>
          <w:b/>
          <w:bCs/>
          <w:sz w:val="32"/>
          <w:szCs w:val="32"/>
        </w:rPr>
        <w:t xml:space="preserve"> </w:t>
      </w:r>
      <w:r w:rsidRPr="00E95ABD" w:rsidR="00F24A1E">
        <w:rPr>
          <w:rFonts w:ascii="Arial" w:hAnsi="Arial" w:cs="Arial"/>
          <w:b/>
          <w:bCs/>
          <w:sz w:val="32"/>
          <w:szCs w:val="32"/>
        </w:rPr>
        <w:t>statements of common ground</w:t>
      </w:r>
    </w:p>
    <w:tbl>
      <w:tblPr>
        <w:tblStyle w:val="TableGrid"/>
        <w:tblW w:w="0" w:type="auto"/>
        <w:tblLook w:val="04A0" w:firstRow="1" w:lastRow="0" w:firstColumn="1" w:lastColumn="0" w:noHBand="0" w:noVBand="1"/>
      </w:tblPr>
      <w:tblGrid>
        <w:gridCol w:w="1413"/>
        <w:gridCol w:w="3118"/>
        <w:gridCol w:w="2268"/>
        <w:gridCol w:w="6237"/>
        <w:gridCol w:w="5812"/>
        <w:gridCol w:w="2126"/>
        <w:gridCol w:w="1276"/>
      </w:tblGrid>
      <w:tr w:rsidR="000166C2" w:rsidTr="00CA67AC" w14:paraId="762F6A79" w14:textId="77777777">
        <w:tc>
          <w:tcPr>
            <w:tcW w:w="1413" w:type="dxa"/>
            <w:shd w:val="clear" w:color="auto" w:fill="000000" w:themeFill="text1"/>
          </w:tcPr>
          <w:p w:rsidR="000166C2" w:rsidP="000166C2" w:rsidRDefault="000166C2" w14:paraId="2F229972" w14:textId="0F854D36">
            <w:pPr>
              <w:spacing w:before="60" w:after="60"/>
              <w:rPr>
                <w:rFonts w:ascii="Arial" w:hAnsi="Arial" w:cs="Arial"/>
              </w:rPr>
            </w:pPr>
            <w:r w:rsidRPr="00F24A1E">
              <w:rPr>
                <w:rFonts w:ascii="Arial" w:hAnsi="Arial" w:cs="Arial"/>
                <w:b/>
                <w:bCs/>
              </w:rPr>
              <w:t>Reference Number</w:t>
            </w:r>
            <w:r>
              <w:rPr>
                <w:rFonts w:ascii="Arial" w:hAnsi="Arial" w:cs="Arial"/>
                <w:b/>
                <w:bCs/>
                <w:vertAlign w:val="superscript"/>
              </w:rPr>
              <w:t>1</w:t>
            </w:r>
          </w:p>
        </w:tc>
        <w:tc>
          <w:tcPr>
            <w:tcW w:w="3118" w:type="dxa"/>
            <w:shd w:val="clear" w:color="auto" w:fill="000000" w:themeFill="text1"/>
          </w:tcPr>
          <w:p w:rsidR="000166C2" w:rsidP="000166C2" w:rsidRDefault="000166C2" w14:paraId="5D658347" w14:textId="1579ACBB">
            <w:pPr>
              <w:spacing w:before="60" w:after="60"/>
              <w:rPr>
                <w:rFonts w:ascii="Arial" w:hAnsi="Arial" w:cs="Arial"/>
              </w:rPr>
            </w:pPr>
            <w:r w:rsidRPr="00F24A1E">
              <w:rPr>
                <w:rFonts w:ascii="Arial" w:hAnsi="Arial" w:cs="Arial"/>
                <w:b/>
                <w:bCs/>
              </w:rPr>
              <w:t>Matter</w:t>
            </w:r>
            <w:r>
              <w:rPr>
                <w:rFonts w:ascii="Arial" w:hAnsi="Arial" w:cs="Arial"/>
                <w:b/>
                <w:bCs/>
                <w:vertAlign w:val="superscript"/>
              </w:rPr>
              <w:t>2</w:t>
            </w:r>
          </w:p>
        </w:tc>
        <w:tc>
          <w:tcPr>
            <w:tcW w:w="2268" w:type="dxa"/>
            <w:shd w:val="clear" w:color="auto" w:fill="000000" w:themeFill="text1"/>
          </w:tcPr>
          <w:p w:rsidR="000166C2" w:rsidP="000166C2" w:rsidRDefault="000166C2" w14:paraId="1A6A24F8" w14:textId="01E699A4">
            <w:pPr>
              <w:spacing w:before="60" w:after="60"/>
              <w:rPr>
                <w:rFonts w:ascii="Arial" w:hAnsi="Arial" w:cs="Arial"/>
              </w:rPr>
            </w:pPr>
            <w:r w:rsidRPr="00F24A1E">
              <w:rPr>
                <w:rFonts w:ascii="Arial" w:hAnsi="Arial" w:cs="Arial"/>
                <w:b/>
                <w:bCs/>
              </w:rPr>
              <w:t>Application Document</w:t>
            </w:r>
            <w:r>
              <w:rPr>
                <w:rFonts w:ascii="Arial" w:hAnsi="Arial" w:cs="Arial"/>
                <w:b/>
                <w:bCs/>
                <w:vertAlign w:val="superscript"/>
              </w:rPr>
              <w:t>3</w:t>
            </w:r>
          </w:p>
        </w:tc>
        <w:tc>
          <w:tcPr>
            <w:tcW w:w="6237" w:type="dxa"/>
            <w:shd w:val="clear" w:color="auto" w:fill="000000" w:themeFill="text1"/>
          </w:tcPr>
          <w:p w:rsidR="000166C2" w:rsidP="000166C2" w:rsidRDefault="000166C2" w14:paraId="75190054" w14:textId="70D0084B">
            <w:pPr>
              <w:spacing w:before="60" w:after="60"/>
              <w:rPr>
                <w:rFonts w:ascii="Arial" w:hAnsi="Arial" w:cs="Arial"/>
              </w:rPr>
            </w:pPr>
            <w:r w:rsidRPr="00F24A1E">
              <w:rPr>
                <w:rFonts w:ascii="Arial" w:hAnsi="Arial" w:cs="Arial"/>
                <w:b/>
                <w:bCs/>
              </w:rPr>
              <w:t>Applicants’ Position</w:t>
            </w:r>
            <w:r>
              <w:rPr>
                <w:rFonts w:ascii="Arial" w:hAnsi="Arial" w:cs="Arial"/>
                <w:b/>
                <w:bCs/>
                <w:vertAlign w:val="superscript"/>
              </w:rPr>
              <w:t>4</w:t>
            </w:r>
          </w:p>
        </w:tc>
        <w:tc>
          <w:tcPr>
            <w:tcW w:w="5812" w:type="dxa"/>
            <w:shd w:val="clear" w:color="auto" w:fill="000000" w:themeFill="text1"/>
          </w:tcPr>
          <w:p w:rsidR="000166C2" w:rsidP="000166C2" w:rsidRDefault="000166C2" w14:paraId="5B2E863B" w14:textId="138C8C28">
            <w:pPr>
              <w:spacing w:before="60" w:after="60"/>
              <w:rPr>
                <w:rFonts w:ascii="Arial" w:hAnsi="Arial" w:cs="Arial"/>
              </w:rPr>
            </w:pPr>
            <w:r w:rsidRPr="00F24A1E">
              <w:rPr>
                <w:rFonts w:ascii="Arial" w:hAnsi="Arial" w:cs="Arial"/>
                <w:b/>
                <w:bCs/>
              </w:rPr>
              <w:t>Interested Party’s Position</w:t>
            </w:r>
            <w:r>
              <w:rPr>
                <w:rFonts w:ascii="Arial" w:hAnsi="Arial" w:cs="Arial"/>
                <w:b/>
                <w:bCs/>
                <w:vertAlign w:val="superscript"/>
              </w:rPr>
              <w:t>5</w:t>
            </w:r>
          </w:p>
        </w:tc>
        <w:tc>
          <w:tcPr>
            <w:tcW w:w="2126" w:type="dxa"/>
            <w:shd w:val="clear" w:color="auto" w:fill="000000" w:themeFill="text1"/>
          </w:tcPr>
          <w:p w:rsidR="000166C2" w:rsidP="000166C2" w:rsidRDefault="000166C2" w14:paraId="22E07F0B" w14:textId="20E9B7DD">
            <w:pPr>
              <w:spacing w:before="60" w:after="60"/>
              <w:rPr>
                <w:rFonts w:ascii="Arial" w:hAnsi="Arial" w:cs="Arial"/>
              </w:rPr>
            </w:pPr>
            <w:r w:rsidRPr="00F24A1E">
              <w:rPr>
                <w:rFonts w:ascii="Arial" w:hAnsi="Arial" w:cs="Arial"/>
                <w:b/>
                <w:bCs/>
              </w:rPr>
              <w:t>Status</w:t>
            </w:r>
            <w:r>
              <w:rPr>
                <w:rFonts w:ascii="Arial" w:hAnsi="Arial" w:cs="Arial"/>
                <w:b/>
                <w:bCs/>
                <w:vertAlign w:val="superscript"/>
              </w:rPr>
              <w:t>6</w:t>
            </w:r>
          </w:p>
        </w:tc>
        <w:tc>
          <w:tcPr>
            <w:tcW w:w="1276" w:type="dxa"/>
            <w:shd w:val="clear" w:color="auto" w:fill="000000" w:themeFill="text1"/>
          </w:tcPr>
          <w:p w:rsidR="000166C2" w:rsidP="000166C2" w:rsidRDefault="000166C2" w14:paraId="19769B45" w14:textId="45F84B48">
            <w:pPr>
              <w:spacing w:before="60" w:after="60"/>
              <w:rPr>
                <w:rFonts w:ascii="Arial" w:hAnsi="Arial" w:cs="Arial"/>
              </w:rPr>
            </w:pPr>
            <w:r w:rsidRPr="00F24A1E">
              <w:rPr>
                <w:rFonts w:ascii="Arial" w:hAnsi="Arial" w:cs="Arial"/>
                <w:b/>
                <w:bCs/>
              </w:rPr>
              <w:t>Date</w:t>
            </w:r>
            <w:r>
              <w:rPr>
                <w:rFonts w:ascii="Arial" w:hAnsi="Arial" w:cs="Arial"/>
                <w:b/>
                <w:bCs/>
                <w:vertAlign w:val="superscript"/>
              </w:rPr>
              <w:t>7</w:t>
            </w:r>
          </w:p>
        </w:tc>
      </w:tr>
      <w:tr w:rsidR="000166C2" w:rsidTr="00616496" w14:paraId="3E696243" w14:textId="77777777">
        <w:tc>
          <w:tcPr>
            <w:tcW w:w="22250" w:type="dxa"/>
            <w:gridSpan w:val="7"/>
            <w:shd w:val="clear" w:color="auto" w:fill="D9D9D9" w:themeFill="background1" w:themeFillShade="D9"/>
          </w:tcPr>
          <w:p w:rsidR="000166C2" w:rsidP="000166C2" w:rsidRDefault="000166C2" w14:paraId="7B63CAD6" w14:textId="622FD0EE">
            <w:pPr>
              <w:spacing w:before="60" w:after="60"/>
              <w:rPr>
                <w:rFonts w:ascii="Arial" w:hAnsi="Arial" w:cs="Arial"/>
              </w:rPr>
            </w:pPr>
            <w:r w:rsidRPr="00F24A1E">
              <w:rPr>
                <w:rFonts w:ascii="Arial" w:hAnsi="Arial" w:cs="Arial"/>
                <w:b/>
                <w:bCs/>
              </w:rPr>
              <w:t>Topic Area</w:t>
            </w:r>
            <w:r>
              <w:rPr>
                <w:rFonts w:ascii="Arial" w:hAnsi="Arial" w:cs="Arial"/>
                <w:b/>
                <w:bCs/>
                <w:vertAlign w:val="superscript"/>
              </w:rPr>
              <w:t>8</w:t>
            </w:r>
          </w:p>
        </w:tc>
      </w:tr>
      <w:tr w:rsidR="000166C2" w:rsidTr="00CA67AC" w14:paraId="2B8B3A12" w14:textId="77777777">
        <w:tc>
          <w:tcPr>
            <w:tcW w:w="1413" w:type="dxa"/>
          </w:tcPr>
          <w:p w:rsidR="000166C2" w:rsidP="000166C2" w:rsidRDefault="000166C2" w14:paraId="6BEB7B2E" w14:textId="77777777">
            <w:pPr>
              <w:spacing w:before="60" w:after="60"/>
              <w:rPr>
                <w:rFonts w:ascii="Arial" w:hAnsi="Arial" w:cs="Arial"/>
              </w:rPr>
            </w:pPr>
          </w:p>
        </w:tc>
        <w:tc>
          <w:tcPr>
            <w:tcW w:w="3118" w:type="dxa"/>
          </w:tcPr>
          <w:p w:rsidR="000166C2" w:rsidP="000166C2" w:rsidRDefault="000166C2" w14:paraId="43E1818E" w14:textId="77777777">
            <w:pPr>
              <w:spacing w:before="60" w:after="60"/>
              <w:rPr>
                <w:rFonts w:ascii="Arial" w:hAnsi="Arial" w:cs="Arial"/>
              </w:rPr>
            </w:pPr>
          </w:p>
        </w:tc>
        <w:tc>
          <w:tcPr>
            <w:tcW w:w="2268" w:type="dxa"/>
          </w:tcPr>
          <w:p w:rsidR="000166C2" w:rsidP="000166C2" w:rsidRDefault="000166C2" w14:paraId="3D340984" w14:textId="77777777">
            <w:pPr>
              <w:spacing w:before="60" w:after="60"/>
              <w:rPr>
                <w:rFonts w:ascii="Arial" w:hAnsi="Arial" w:cs="Arial"/>
              </w:rPr>
            </w:pPr>
          </w:p>
        </w:tc>
        <w:tc>
          <w:tcPr>
            <w:tcW w:w="6237" w:type="dxa"/>
          </w:tcPr>
          <w:p w:rsidR="000166C2" w:rsidP="000166C2" w:rsidRDefault="000166C2" w14:paraId="105DDA22" w14:textId="77777777">
            <w:pPr>
              <w:spacing w:before="60" w:after="60"/>
              <w:rPr>
                <w:rFonts w:ascii="Arial" w:hAnsi="Arial" w:cs="Arial"/>
              </w:rPr>
            </w:pPr>
          </w:p>
        </w:tc>
        <w:tc>
          <w:tcPr>
            <w:tcW w:w="5812" w:type="dxa"/>
          </w:tcPr>
          <w:p w:rsidR="000166C2" w:rsidP="000166C2" w:rsidRDefault="000166C2" w14:paraId="7B860145" w14:textId="77777777">
            <w:pPr>
              <w:spacing w:before="60" w:after="60"/>
              <w:rPr>
                <w:rFonts w:ascii="Arial" w:hAnsi="Arial" w:cs="Arial"/>
              </w:rPr>
            </w:pPr>
          </w:p>
        </w:tc>
        <w:tc>
          <w:tcPr>
            <w:tcW w:w="2126" w:type="dxa"/>
          </w:tcPr>
          <w:p w:rsidR="000166C2" w:rsidP="000166C2" w:rsidRDefault="000166C2" w14:paraId="5EEBB9BD" w14:textId="03F36925">
            <w:pPr>
              <w:spacing w:before="60" w:after="60"/>
              <w:rPr>
                <w:rFonts w:ascii="Arial" w:hAnsi="Arial" w:cs="Arial"/>
              </w:rPr>
            </w:pPr>
          </w:p>
        </w:tc>
        <w:tc>
          <w:tcPr>
            <w:tcW w:w="1276" w:type="dxa"/>
          </w:tcPr>
          <w:p w:rsidR="000166C2" w:rsidP="000166C2" w:rsidRDefault="000166C2" w14:paraId="1441634D" w14:textId="4D8325A7">
            <w:pPr>
              <w:spacing w:before="60" w:after="60"/>
              <w:rPr>
                <w:rFonts w:ascii="Arial" w:hAnsi="Arial" w:cs="Arial"/>
              </w:rPr>
            </w:pPr>
          </w:p>
        </w:tc>
      </w:tr>
      <w:tr w:rsidR="000166C2" w:rsidTr="00CA67AC" w14:paraId="17ADD2D4" w14:textId="77777777">
        <w:tc>
          <w:tcPr>
            <w:tcW w:w="1413" w:type="dxa"/>
          </w:tcPr>
          <w:p w:rsidR="000166C2" w:rsidP="000166C2" w:rsidRDefault="000166C2" w14:paraId="173F87C1" w14:textId="77777777">
            <w:pPr>
              <w:spacing w:before="60" w:after="60"/>
              <w:rPr>
                <w:rFonts w:ascii="Arial" w:hAnsi="Arial" w:cs="Arial"/>
              </w:rPr>
            </w:pPr>
          </w:p>
        </w:tc>
        <w:tc>
          <w:tcPr>
            <w:tcW w:w="3118" w:type="dxa"/>
          </w:tcPr>
          <w:p w:rsidR="000166C2" w:rsidP="000166C2" w:rsidRDefault="000166C2" w14:paraId="7B47A7F7" w14:textId="77777777">
            <w:pPr>
              <w:spacing w:before="60" w:after="60"/>
              <w:rPr>
                <w:rFonts w:ascii="Arial" w:hAnsi="Arial" w:cs="Arial"/>
              </w:rPr>
            </w:pPr>
          </w:p>
        </w:tc>
        <w:tc>
          <w:tcPr>
            <w:tcW w:w="2268" w:type="dxa"/>
          </w:tcPr>
          <w:p w:rsidR="000166C2" w:rsidP="000166C2" w:rsidRDefault="000166C2" w14:paraId="0703990F" w14:textId="77777777">
            <w:pPr>
              <w:spacing w:before="60" w:after="60"/>
              <w:rPr>
                <w:rFonts w:ascii="Arial" w:hAnsi="Arial" w:cs="Arial"/>
              </w:rPr>
            </w:pPr>
          </w:p>
        </w:tc>
        <w:tc>
          <w:tcPr>
            <w:tcW w:w="6237" w:type="dxa"/>
          </w:tcPr>
          <w:p w:rsidR="000166C2" w:rsidP="000166C2" w:rsidRDefault="000166C2" w14:paraId="30137E56" w14:textId="77777777">
            <w:pPr>
              <w:spacing w:before="60" w:after="60"/>
              <w:rPr>
                <w:rFonts w:ascii="Arial" w:hAnsi="Arial" w:cs="Arial"/>
              </w:rPr>
            </w:pPr>
          </w:p>
        </w:tc>
        <w:tc>
          <w:tcPr>
            <w:tcW w:w="5812" w:type="dxa"/>
          </w:tcPr>
          <w:p w:rsidR="000166C2" w:rsidP="000166C2" w:rsidRDefault="000166C2" w14:paraId="76E27152" w14:textId="77777777">
            <w:pPr>
              <w:spacing w:before="60" w:after="60"/>
              <w:rPr>
                <w:rFonts w:ascii="Arial" w:hAnsi="Arial" w:cs="Arial"/>
              </w:rPr>
            </w:pPr>
          </w:p>
        </w:tc>
        <w:tc>
          <w:tcPr>
            <w:tcW w:w="2126" w:type="dxa"/>
          </w:tcPr>
          <w:p w:rsidR="000166C2" w:rsidP="000166C2" w:rsidRDefault="000166C2" w14:paraId="68224CF3" w14:textId="77777777">
            <w:pPr>
              <w:spacing w:before="60" w:after="60"/>
              <w:rPr>
                <w:rFonts w:ascii="Arial" w:hAnsi="Arial" w:cs="Arial"/>
              </w:rPr>
            </w:pPr>
          </w:p>
        </w:tc>
        <w:tc>
          <w:tcPr>
            <w:tcW w:w="1276" w:type="dxa"/>
          </w:tcPr>
          <w:p w:rsidR="000166C2" w:rsidP="000166C2" w:rsidRDefault="000166C2" w14:paraId="06EEF15B" w14:textId="77777777">
            <w:pPr>
              <w:spacing w:before="60" w:after="60"/>
              <w:rPr>
                <w:rFonts w:ascii="Arial" w:hAnsi="Arial" w:cs="Arial"/>
              </w:rPr>
            </w:pPr>
          </w:p>
        </w:tc>
      </w:tr>
    </w:tbl>
    <w:p w:rsidRPr="00F24A1E" w:rsidR="00F24A1E" w:rsidRDefault="00F24A1E" w14:paraId="6D783F13" w14:textId="77777777">
      <w:pPr>
        <w:rPr>
          <w:rFonts w:ascii="Arial" w:hAnsi="Arial" w:cs="Arial"/>
        </w:rPr>
      </w:pPr>
    </w:p>
    <w:p w:rsidR="007B0236" w:rsidRDefault="007B0236" w14:paraId="2C0F4AA7" w14:textId="0195837F">
      <w:pPr>
        <w:rPr>
          <w:rFonts w:ascii="Arial" w:hAnsi="Arial" w:cs="Arial"/>
        </w:rPr>
      </w:pPr>
    </w:p>
    <w:p w:rsidR="007B0236" w:rsidRDefault="00077FE7" w14:paraId="2D97F47B" w14:textId="5FE25F33">
      <w:pP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227A1E7F" wp14:editId="4A56E6B6">
                <wp:simplePos x="0" y="0"/>
                <wp:positionH relativeFrom="column">
                  <wp:posOffset>28575</wp:posOffset>
                </wp:positionH>
                <wp:positionV relativeFrom="paragraph">
                  <wp:posOffset>108584</wp:posOffset>
                </wp:positionV>
                <wp:extent cx="14058900" cy="19050"/>
                <wp:effectExtent l="0" t="0" r="19050" b="19050"/>
                <wp:wrapNone/>
                <wp:docPr id="790955445" name="Straight Connector 1"/>
                <wp:cNvGraphicFramePr/>
                <a:graphic xmlns:a="http://schemas.openxmlformats.org/drawingml/2006/main">
                  <a:graphicData uri="http://schemas.microsoft.com/office/word/2010/wordprocessingShape">
                    <wps:wsp>
                      <wps:cNvCnPr/>
                      <wps:spPr>
                        <a:xfrm flipV="1">
                          <a:off x="0" y="0"/>
                          <a:ext cx="140589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56082 [3204]" strokeweight=".5pt" from="2.25pt,8.55pt" to="1109.25pt,10.05pt" w14:anchorId="2B55CD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VNqAEAAKMDAAAOAAAAZHJzL2Uyb0RvYy54bWysU8tu2zAQvAfIPxC815KMpkgEyzk4aC9F&#10;G7RJ7gy1tAjwBZK15L/vcm3LRVKgaJALwcfO7M7scnU7WcN2EJP2ruPNouYMnPS9dtuOPz58/nDN&#10;WcrC9cJ4Bx3fQ+K368uL1RhaWPrBmx4iQxKX2jF0fMg5tFWV5ABWpIUP4PBR+WhFxmPcVn0UI7Jb&#10;Uy3r+lM1+tiH6CWkhLd3h0e+Jn6lQObvSiXIzHQca8u0Rlqfy1qtV6LdRhEGLY9liDdUYYV2mHSm&#10;uhNZsF9Rv6KyWkafvMoL6W3lldISSAOqaeoXan4OIgBpQXNSmG1K70crv+027j6iDWNIbQr3saiY&#10;VLRMGR2esKekCytlE9m2n22DKTOJl83H+ur6pkZ7JT42N/UV+VodeApfiCl/AW9Z2XTcaFdkiVbs&#10;vqaMuTH0FIKHcyW0y3sDJdi4H6CY7ktGQtOQwMZEthPYXiEluNyUliIfRReY0sbMwPrfwGN8gQIN&#10;0P+AZwRl9i7PYKudj3/LnqdTyeoQf3LgoLtY8Oz7PfWIrMFJIIXHqS2j9ueZ4Oe/tf4NAAD//wMA&#10;UEsDBBQABgAIAAAAIQAuoYF03gAAAAgBAAAPAAAAZHJzL2Rvd25yZXYueG1sTI/NTsNADITvSLzD&#10;ykhcULtJxE8VsqkQAg7l1EIluDlZk0TNeqPsNg1vjznBzZ4ZjT8X69n1aqIxdJ4NpMsEFHHtbceN&#10;gfe358UKVIjIFnvPZOCbAqzL87MCc+tPvKVpFxslJRxyNNDGOORah7olh2HpB2LxvvzoMMo6NtqO&#10;eJJy1+ssSW61w47lQosDPbZUH3ZHZ+Az+PC031TTy2G7mfHqNWYftTXm8mJ+uAcVaY5/YfjFF3Qo&#10;hanyR7ZB9QaubyQo8l0KSuwsS1eiVDIlKeiy0P8fKH8AAAD//wMAUEsBAi0AFAAGAAgAAAAhALaD&#10;OJL+AAAA4QEAABMAAAAAAAAAAAAAAAAAAAAAAFtDb250ZW50X1R5cGVzXS54bWxQSwECLQAUAAYA&#10;CAAAACEAOP0h/9YAAACUAQAACwAAAAAAAAAAAAAAAAAvAQAAX3JlbHMvLnJlbHNQSwECLQAUAAYA&#10;CAAAACEAxbblTagBAACjAwAADgAAAAAAAAAAAAAAAAAuAgAAZHJzL2Uyb0RvYy54bWxQSwECLQAU&#10;AAYACAAAACEALqGBdN4AAAAIAQAADwAAAAAAAAAAAAAAAAACBAAAZHJzL2Rvd25yZXYueG1sUEsF&#10;BgAAAAAEAAQA8wAAAA0FAAAAAA==&#10;">
                <v:stroke joinstyle="miter"/>
              </v:line>
            </w:pict>
          </mc:Fallback>
        </mc:AlternateContent>
      </w:r>
    </w:p>
    <w:p w:rsidRPr="00470F18" w:rsidR="00470F18" w:rsidP="00F158B5" w:rsidRDefault="005C1A7B" w14:paraId="7340E34A" w14:textId="77777777">
      <w:pPr>
        <w:spacing w:after="240" w:line="240" w:lineRule="auto"/>
        <w:rPr>
          <w:rFonts w:ascii="Arial" w:hAnsi="Arial" w:cs="Arial"/>
        </w:rPr>
      </w:pPr>
      <w:r>
        <w:rPr>
          <w:rFonts w:ascii="Arial" w:hAnsi="Arial" w:cs="Arial"/>
          <w:vertAlign w:val="superscript"/>
        </w:rPr>
        <w:t>1</w:t>
      </w:r>
      <w:r>
        <w:rPr>
          <w:rFonts w:ascii="Arial" w:hAnsi="Arial" w:cs="Arial"/>
          <w:vertAlign w:val="superscript"/>
        </w:rPr>
        <w:tab/>
      </w:r>
      <w:r w:rsidRPr="00470F18" w:rsidR="00470F18">
        <w:rPr>
          <w:rFonts w:ascii="Arial" w:hAnsi="Arial" w:cs="Arial"/>
        </w:rPr>
        <w:t>The unique reference number with which to identify the matter.</w:t>
      </w:r>
    </w:p>
    <w:p w:rsidR="005C1A7B" w:rsidP="00F158B5" w:rsidRDefault="00470F18" w14:paraId="27515E9A" w14:textId="01F7BFDD">
      <w:pPr>
        <w:spacing w:after="240" w:line="240" w:lineRule="auto"/>
        <w:rPr>
          <w:rFonts w:ascii="Arial" w:hAnsi="Arial" w:cs="Arial"/>
        </w:rPr>
      </w:pPr>
      <w:r>
        <w:rPr>
          <w:rFonts w:ascii="Arial" w:hAnsi="Arial" w:cs="Arial"/>
          <w:vertAlign w:val="superscript"/>
        </w:rPr>
        <w:t>2</w:t>
      </w:r>
      <w:r>
        <w:rPr>
          <w:rFonts w:ascii="Arial" w:hAnsi="Arial" w:cs="Arial"/>
          <w:vertAlign w:val="superscript"/>
        </w:rPr>
        <w:tab/>
      </w:r>
      <w:r w:rsidRPr="00470F18">
        <w:rPr>
          <w:rFonts w:ascii="Arial" w:hAnsi="Arial" w:cs="Arial"/>
        </w:rPr>
        <w:t>The description of the matter that is under discussion.</w:t>
      </w:r>
    </w:p>
    <w:p w:rsidR="00446DB6" w:rsidP="003711FE" w:rsidRDefault="00470F18" w14:paraId="2E05C71D" w14:textId="77777777">
      <w:pPr>
        <w:spacing w:after="240" w:line="240" w:lineRule="auto"/>
        <w:ind w:left="709" w:hanging="709"/>
        <w:rPr>
          <w:rFonts w:ascii="Arial" w:hAnsi="Arial" w:cs="Arial"/>
        </w:rPr>
      </w:pPr>
      <w:r>
        <w:rPr>
          <w:rFonts w:ascii="Arial" w:hAnsi="Arial" w:cs="Arial"/>
          <w:vertAlign w:val="superscript"/>
        </w:rPr>
        <w:t>3</w:t>
      </w:r>
      <w:r w:rsidR="00C21069">
        <w:rPr>
          <w:rFonts w:ascii="Arial" w:hAnsi="Arial" w:cs="Arial"/>
          <w:vertAlign w:val="superscript"/>
        </w:rPr>
        <w:tab/>
      </w:r>
      <w:r w:rsidRPr="00C21069" w:rsidR="00C21069">
        <w:rPr>
          <w:rFonts w:ascii="Arial" w:hAnsi="Arial" w:cs="Arial"/>
        </w:rPr>
        <w:t>The name and hyperlinked examination library reference number of the application document to which the matter under discussion principally relates, including specific paragraph reference number where relevant.</w:t>
      </w:r>
    </w:p>
    <w:p w:rsidRPr="00C21069" w:rsidR="00C21069" w:rsidP="00446DB6" w:rsidRDefault="003711FE" w14:paraId="33E5B44F" w14:textId="2EB46506">
      <w:pPr>
        <w:spacing w:after="240" w:line="240" w:lineRule="auto"/>
        <w:ind w:left="709"/>
        <w:rPr>
          <w:rFonts w:ascii="Arial" w:hAnsi="Arial" w:cs="Arial"/>
        </w:rPr>
      </w:pPr>
      <w:r>
        <w:rPr>
          <w:rFonts w:ascii="Arial" w:hAnsi="Arial" w:cs="Arial"/>
        </w:rPr>
        <w:t>F</w:t>
      </w:r>
      <w:r w:rsidRPr="00C21069" w:rsidR="00C21069">
        <w:rPr>
          <w:rFonts w:ascii="Arial" w:hAnsi="Arial" w:cs="Arial"/>
        </w:rPr>
        <w:t xml:space="preserve">or example, if the matter under discussion principally relates to the methodological approach in a particular chapter of the Environmental Statement, the name and hyperlinked examination library reference number of that chapter should be provided in this column, alongside any relevant paragraph reference number. </w:t>
      </w:r>
    </w:p>
    <w:p w:rsidRPr="00C21069" w:rsidR="00C21069" w:rsidP="00F158B5" w:rsidRDefault="00C21069" w14:paraId="6E04C172" w14:textId="77777777">
      <w:pPr>
        <w:spacing w:after="240" w:line="240" w:lineRule="auto"/>
        <w:ind w:left="709" w:hanging="709"/>
        <w:rPr>
          <w:rFonts w:ascii="Arial" w:hAnsi="Arial" w:cs="Arial"/>
        </w:rPr>
      </w:pPr>
      <w:r>
        <w:rPr>
          <w:rFonts w:ascii="Arial" w:hAnsi="Arial" w:cs="Arial"/>
          <w:vertAlign w:val="superscript"/>
        </w:rPr>
        <w:t>4</w:t>
      </w:r>
      <w:r>
        <w:rPr>
          <w:rFonts w:ascii="Arial" w:hAnsi="Arial" w:cs="Arial"/>
          <w:vertAlign w:val="superscript"/>
        </w:rPr>
        <w:tab/>
      </w:r>
      <w:r w:rsidRPr="00C21069">
        <w:rPr>
          <w:rFonts w:ascii="Arial" w:hAnsi="Arial" w:cs="Arial"/>
        </w:rPr>
        <w:t xml:space="preserve">A proportionate but sufficiently detailed and intelligible summary of the applicants’ position on the matter that is under discussion. </w:t>
      </w:r>
    </w:p>
    <w:p w:rsidRPr="00C21069" w:rsidR="00C21069" w:rsidP="00F158B5" w:rsidRDefault="00C21069" w14:paraId="477E2248" w14:textId="77777777">
      <w:pPr>
        <w:spacing w:after="240" w:line="240" w:lineRule="auto"/>
        <w:ind w:left="720"/>
        <w:rPr>
          <w:rFonts w:ascii="Arial" w:hAnsi="Arial" w:cs="Arial"/>
        </w:rPr>
      </w:pPr>
      <w:r w:rsidRPr="00C21069">
        <w:rPr>
          <w:rFonts w:ascii="Arial" w:hAnsi="Arial" w:cs="Arial"/>
        </w:rPr>
        <w:t xml:space="preserve">Including the name of the document, hyperlinked examination library reference number and relevant paragraph reference number where the Examining Panel can read the applicants’ detailed position in full. </w:t>
      </w:r>
    </w:p>
    <w:p w:rsidRPr="00C21069" w:rsidR="00C21069" w:rsidP="00F158B5" w:rsidRDefault="00C21069" w14:paraId="4CF60556" w14:textId="77777777">
      <w:pPr>
        <w:spacing w:after="240" w:line="240" w:lineRule="auto"/>
        <w:ind w:left="720"/>
        <w:rPr>
          <w:rFonts w:ascii="Arial" w:hAnsi="Arial" w:cs="Arial"/>
        </w:rPr>
      </w:pPr>
      <w:r w:rsidRPr="00C21069">
        <w:rPr>
          <w:rFonts w:ascii="Arial" w:hAnsi="Arial" w:cs="Arial"/>
        </w:rPr>
        <w:t xml:space="preserve">For example, if the matter that is under discussion emerged within an interested party written representation submitted at deadline 1 and related to an objection about the methodological approach in a particular chapter of the Environmental Statement, and the applicants submitted a detailed response at deadline 2 rebutting the objection, these submissions made by the applicants at deadline 2 should be summarised and referenced in this column accordingly. </w:t>
      </w:r>
    </w:p>
    <w:p w:rsidRPr="00C21069" w:rsidR="00C21069" w:rsidP="00F158B5" w:rsidRDefault="00C21069" w14:paraId="1537A4A3" w14:textId="77777777">
      <w:pPr>
        <w:spacing w:after="240" w:line="240" w:lineRule="auto"/>
        <w:ind w:left="720"/>
        <w:rPr>
          <w:rFonts w:ascii="Arial" w:hAnsi="Arial" w:cs="Arial"/>
        </w:rPr>
      </w:pPr>
      <w:r w:rsidRPr="00C21069">
        <w:rPr>
          <w:rFonts w:ascii="Arial" w:hAnsi="Arial" w:cs="Arial"/>
        </w:rPr>
        <w:t xml:space="preserve">Where the matter that is under discussion subsequently becomes agreed, this column should include the actions that enabled this to happen. </w:t>
      </w:r>
    </w:p>
    <w:p w:rsidRPr="00C21069" w:rsidR="00C21069" w:rsidP="00F158B5" w:rsidRDefault="00C21069" w14:paraId="12B3C660" w14:textId="77777777">
      <w:pPr>
        <w:spacing w:after="240" w:line="240" w:lineRule="auto"/>
        <w:ind w:left="720"/>
        <w:rPr>
          <w:rFonts w:ascii="Arial" w:hAnsi="Arial" w:cs="Arial"/>
        </w:rPr>
      </w:pPr>
      <w:r w:rsidRPr="00C21069">
        <w:rPr>
          <w:rFonts w:ascii="Arial" w:hAnsi="Arial" w:cs="Arial"/>
        </w:rPr>
        <w:t xml:space="preserve">For example, if the matter that is under discussion emerged within an interested party written representation submitted at deadline 1 and related to an objection about the methodological approach in a particular chapter of the Environmental Statement, and the applicants submitted an updated chapter at deadline 2 that addressed the interested party’s objection, then these submissions made by the applicants at deadline 2 should be summarised and referenced in this column accordingly. </w:t>
      </w:r>
    </w:p>
    <w:p w:rsidRPr="00164919" w:rsidR="00164919" w:rsidP="00F158B5" w:rsidRDefault="00164919" w14:paraId="4251D7FB" w14:textId="77777777">
      <w:pPr>
        <w:spacing w:after="240" w:line="240" w:lineRule="auto"/>
        <w:ind w:left="709" w:hanging="709"/>
        <w:rPr>
          <w:rFonts w:ascii="Arial" w:hAnsi="Arial" w:cs="Arial"/>
        </w:rPr>
      </w:pPr>
      <w:r>
        <w:rPr>
          <w:rFonts w:ascii="Arial" w:hAnsi="Arial" w:cs="Arial"/>
          <w:vertAlign w:val="superscript"/>
        </w:rPr>
        <w:t>5</w:t>
      </w:r>
      <w:r>
        <w:rPr>
          <w:rFonts w:ascii="Arial" w:hAnsi="Arial" w:cs="Arial"/>
          <w:vertAlign w:val="superscript"/>
        </w:rPr>
        <w:tab/>
      </w:r>
      <w:r w:rsidRPr="00164919">
        <w:rPr>
          <w:rFonts w:ascii="Arial" w:hAnsi="Arial" w:cs="Arial"/>
        </w:rPr>
        <w:t xml:space="preserve">A proportionate but sufficiently detailed and intelligible summary of the interested party’s position on the matter that is under discussion. </w:t>
      </w:r>
    </w:p>
    <w:p w:rsidRPr="00164919" w:rsidR="00164919" w:rsidP="00F158B5" w:rsidRDefault="00164919" w14:paraId="58D79132" w14:textId="77777777">
      <w:pPr>
        <w:spacing w:after="240" w:line="240" w:lineRule="auto"/>
        <w:ind w:left="709"/>
        <w:rPr>
          <w:rFonts w:ascii="Arial" w:hAnsi="Arial" w:cs="Arial"/>
        </w:rPr>
      </w:pPr>
      <w:r w:rsidRPr="00164919">
        <w:rPr>
          <w:rFonts w:ascii="Arial" w:hAnsi="Arial" w:cs="Arial"/>
        </w:rPr>
        <w:t xml:space="preserve">Including the name of the document, hyperlinked examination library reference number and relevant paragraph reference number where the Examining Panel can read the interested party’s detailed position in full. </w:t>
      </w:r>
    </w:p>
    <w:p w:rsidRPr="00164919" w:rsidR="00164919" w:rsidP="00F158B5" w:rsidRDefault="00164919" w14:paraId="60EA2346" w14:textId="6BBC72B0">
      <w:pPr>
        <w:spacing w:after="240" w:line="240" w:lineRule="auto"/>
        <w:ind w:left="709"/>
        <w:rPr>
          <w:rFonts w:ascii="Arial" w:hAnsi="Arial" w:cs="Arial"/>
        </w:rPr>
      </w:pPr>
      <w:r w:rsidRPr="10B46D9C" w:rsidR="00164919">
        <w:rPr>
          <w:rFonts w:ascii="Arial" w:hAnsi="Arial" w:cs="Arial"/>
        </w:rPr>
        <w:t xml:space="preserve">For example, if the matter that is under discussion emerged within an interested party written representation submitted at deadline 1 relating to the methodological approach in a particular chapter of the Environmental Statement, then the submissions made by the interested party at deadline 1 </w:t>
      </w:r>
      <w:r w:rsidRPr="10B46D9C" w:rsidR="79471C05">
        <w:rPr>
          <w:rFonts w:ascii="Arial" w:hAnsi="Arial" w:cs="Arial"/>
        </w:rPr>
        <w:t>sh</w:t>
      </w:r>
      <w:r w:rsidRPr="10B46D9C" w:rsidR="00164919">
        <w:rPr>
          <w:rFonts w:ascii="Arial" w:hAnsi="Arial" w:cs="Arial"/>
        </w:rPr>
        <w:t>ould be referenced in this column accordingly.</w:t>
      </w:r>
    </w:p>
    <w:p w:rsidRPr="00164919" w:rsidR="00164919" w:rsidP="00F158B5" w:rsidRDefault="00164919" w14:paraId="115814CA" w14:textId="77777777">
      <w:pPr>
        <w:spacing w:after="240" w:line="240" w:lineRule="auto"/>
        <w:ind w:left="709"/>
        <w:rPr>
          <w:rFonts w:ascii="Arial" w:hAnsi="Arial" w:cs="Arial"/>
        </w:rPr>
      </w:pPr>
      <w:r w:rsidRPr="00164919">
        <w:rPr>
          <w:rFonts w:ascii="Arial" w:hAnsi="Arial" w:cs="Arial"/>
        </w:rPr>
        <w:t xml:space="preserve">Any information relied upon to support a position should be submitted into the examination. For example, if there have been information exchanges outside the examination process as part of negotiations, the Examining Panel, and indeed other interested parties, would need to see this information </w:t>
      </w:r>
      <w:proofErr w:type="gramStart"/>
      <w:r w:rsidRPr="00164919">
        <w:rPr>
          <w:rFonts w:ascii="Arial" w:hAnsi="Arial" w:cs="Arial"/>
        </w:rPr>
        <w:t>in order to</w:t>
      </w:r>
      <w:proofErr w:type="gramEnd"/>
      <w:r w:rsidRPr="00164919">
        <w:rPr>
          <w:rFonts w:ascii="Arial" w:hAnsi="Arial" w:cs="Arial"/>
        </w:rPr>
        <w:t xml:space="preserve"> properly understand the matter that is under discussion. </w:t>
      </w:r>
    </w:p>
    <w:p w:rsidRPr="00164919" w:rsidR="00164919" w:rsidP="00F158B5" w:rsidRDefault="00164919" w14:paraId="7B22537C" w14:textId="77777777">
      <w:pPr>
        <w:spacing w:after="240" w:line="240" w:lineRule="auto"/>
        <w:ind w:left="709"/>
        <w:rPr>
          <w:rFonts w:ascii="Arial" w:hAnsi="Arial" w:cs="Arial"/>
        </w:rPr>
      </w:pPr>
      <w:r w:rsidRPr="00164919">
        <w:rPr>
          <w:rFonts w:ascii="Arial" w:hAnsi="Arial" w:cs="Arial"/>
        </w:rPr>
        <w:t xml:space="preserve">Where positions change throughout the course of the examination, these should be set out in updated statements of common ground. </w:t>
      </w:r>
    </w:p>
    <w:p w:rsidRPr="00164919" w:rsidR="00164919" w:rsidP="00F158B5" w:rsidRDefault="00164919" w14:paraId="6EE9AE89" w14:textId="77777777">
      <w:pPr>
        <w:spacing w:after="240" w:line="240" w:lineRule="auto"/>
        <w:ind w:left="709"/>
        <w:rPr>
          <w:rFonts w:ascii="Arial" w:hAnsi="Arial" w:cs="Arial"/>
        </w:rPr>
      </w:pPr>
      <w:r w:rsidRPr="00164919">
        <w:rPr>
          <w:rFonts w:ascii="Arial" w:hAnsi="Arial" w:cs="Arial"/>
        </w:rPr>
        <w:t xml:space="preserve">Where a matter is still under discussion, the interested party should be clear why the matter cannot yet be agreed. Furthermore, the interested party should detail any actions that they feel the applicants could take to secure agreement. </w:t>
      </w:r>
    </w:p>
    <w:p w:rsidRPr="00164919" w:rsidR="00164919" w:rsidP="00F158B5" w:rsidRDefault="00164919" w14:paraId="15D9AC97" w14:textId="77777777">
      <w:pPr>
        <w:spacing w:after="240" w:line="240" w:lineRule="auto"/>
        <w:ind w:left="709"/>
        <w:rPr>
          <w:rFonts w:ascii="Arial" w:hAnsi="Arial" w:cs="Arial"/>
        </w:rPr>
      </w:pPr>
      <w:r w:rsidRPr="00164919">
        <w:rPr>
          <w:rFonts w:ascii="Arial" w:hAnsi="Arial" w:cs="Arial"/>
        </w:rPr>
        <w:t xml:space="preserve">For example, if the matter still under discussion relates to securing additional surveys, and this could be resolved by an additional requirement in the dDCO, the interested party should make this clear and provide draft requirement wording accordingly. </w:t>
      </w:r>
    </w:p>
    <w:p w:rsidRPr="00164919" w:rsidR="00164919" w:rsidP="0023375A" w:rsidRDefault="00164919" w14:paraId="36790529" w14:textId="0E9D14EF">
      <w:pPr>
        <w:spacing w:after="240" w:line="240" w:lineRule="auto"/>
        <w:ind w:left="709" w:hanging="709"/>
        <w:rPr>
          <w:rFonts w:ascii="Arial" w:hAnsi="Arial" w:cs="Arial"/>
        </w:rPr>
      </w:pPr>
      <w:r>
        <w:rPr>
          <w:rFonts w:ascii="Arial" w:hAnsi="Arial" w:cs="Arial"/>
          <w:vertAlign w:val="superscript"/>
        </w:rPr>
        <w:lastRenderedPageBreak/>
        <w:t>6</w:t>
      </w:r>
      <w:r>
        <w:rPr>
          <w:rFonts w:ascii="Arial" w:hAnsi="Arial" w:cs="Arial"/>
          <w:vertAlign w:val="superscript"/>
        </w:rPr>
        <w:tab/>
      </w:r>
      <w:r w:rsidRPr="00164919">
        <w:rPr>
          <w:rFonts w:ascii="Arial" w:hAnsi="Arial" w:cs="Arial"/>
        </w:rPr>
        <w:t>The status of the matter that is under discussion, whether agreed, not agreed or still under discussion</w:t>
      </w:r>
      <w:r w:rsidR="0023375A">
        <w:rPr>
          <w:rFonts w:ascii="Arial" w:hAnsi="Arial" w:cs="Arial"/>
        </w:rPr>
        <w:t>,</w:t>
      </w:r>
      <w:r w:rsidRPr="00164919">
        <w:rPr>
          <w:rFonts w:ascii="Arial" w:hAnsi="Arial" w:cs="Arial"/>
        </w:rPr>
        <w:t xml:space="preserve"> </w:t>
      </w:r>
      <w:r w:rsidRPr="0023375A" w:rsidR="0023375A">
        <w:rPr>
          <w:rFonts w:ascii="Arial" w:hAnsi="Arial" w:cs="Arial"/>
        </w:rPr>
        <w:t>with a Red/Amber/Green (RAG) status applied as follows: green – agreed, amber – under discussion and red – not agreed.</w:t>
      </w:r>
    </w:p>
    <w:p w:rsidRPr="00F158B5" w:rsidR="00F158B5" w:rsidP="00F158B5" w:rsidRDefault="00164919" w14:paraId="6BEA6D8A" w14:textId="4E4062D5">
      <w:pPr>
        <w:spacing w:after="240" w:line="240" w:lineRule="auto"/>
        <w:rPr>
          <w:rFonts w:ascii="Arial" w:hAnsi="Arial" w:cs="Arial"/>
        </w:rPr>
      </w:pPr>
      <w:r>
        <w:rPr>
          <w:rFonts w:ascii="Arial" w:hAnsi="Arial" w:cs="Arial"/>
          <w:vertAlign w:val="superscript"/>
        </w:rPr>
        <w:t>7</w:t>
      </w:r>
      <w:r w:rsidR="00F158B5">
        <w:rPr>
          <w:rFonts w:ascii="Arial" w:hAnsi="Arial" w:cs="Arial"/>
          <w:vertAlign w:val="superscript"/>
        </w:rPr>
        <w:tab/>
      </w:r>
      <w:r w:rsidRPr="00F158B5" w:rsidR="00F158B5">
        <w:rPr>
          <w:rFonts w:ascii="Arial" w:hAnsi="Arial" w:cs="Arial"/>
        </w:rPr>
        <w:t xml:space="preserve">The date on which the matter that was under discussion was ultimately agreed. </w:t>
      </w:r>
      <w:r w:rsidR="00FE7E4A">
        <w:rPr>
          <w:rFonts w:ascii="Arial" w:hAnsi="Arial" w:cs="Arial"/>
        </w:rPr>
        <w:t>(in DD/MM/YY format)</w:t>
      </w:r>
    </w:p>
    <w:p w:rsidRPr="00F158B5" w:rsidR="00F158B5" w:rsidP="00F158B5" w:rsidRDefault="00F158B5" w14:paraId="461C248F" w14:textId="3B38DA5C">
      <w:pPr>
        <w:spacing w:after="240" w:line="240" w:lineRule="auto"/>
        <w:rPr>
          <w:rFonts w:ascii="Arial" w:hAnsi="Arial" w:cs="Arial"/>
        </w:rPr>
      </w:pPr>
      <w:r>
        <w:rPr>
          <w:rFonts w:ascii="Arial" w:hAnsi="Arial" w:cs="Arial"/>
          <w:vertAlign w:val="superscript"/>
        </w:rPr>
        <w:t>8</w:t>
      </w:r>
      <w:r>
        <w:rPr>
          <w:rFonts w:ascii="Arial" w:hAnsi="Arial" w:cs="Arial"/>
          <w:vertAlign w:val="superscript"/>
        </w:rPr>
        <w:tab/>
      </w:r>
      <w:r w:rsidRPr="00F158B5">
        <w:rPr>
          <w:rFonts w:ascii="Arial" w:hAnsi="Arial" w:cs="Arial"/>
        </w:rPr>
        <w:t>The topic area within which each matter that is under discussion sits</w:t>
      </w:r>
      <w:r w:rsidR="009B35AF">
        <w:rPr>
          <w:rFonts w:ascii="Arial" w:hAnsi="Arial" w:cs="Arial"/>
        </w:rPr>
        <w:t xml:space="preserve"> </w:t>
      </w:r>
    </w:p>
    <w:p w:rsidRPr="00470F18" w:rsidR="00470F18" w:rsidP="00F158B5" w:rsidRDefault="00470F18" w14:paraId="3D2065B8" w14:textId="40B3538C">
      <w:pPr>
        <w:spacing w:after="240" w:line="240" w:lineRule="auto"/>
        <w:rPr>
          <w:rFonts w:ascii="Arial" w:hAnsi="Arial" w:cs="Arial"/>
          <w:vertAlign w:val="superscript"/>
        </w:rPr>
      </w:pPr>
    </w:p>
    <w:sectPr w:rsidRPr="00470F18" w:rsidR="00470F18" w:rsidSect="00616496">
      <w:pgSz w:w="23814" w:h="168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6151E2"/>
    <w:rsid w:val="00007A85"/>
    <w:rsid w:val="0001451E"/>
    <w:rsid w:val="00015C97"/>
    <w:rsid w:val="000166C2"/>
    <w:rsid w:val="00023D2F"/>
    <w:rsid w:val="00037194"/>
    <w:rsid w:val="0005153F"/>
    <w:rsid w:val="000521B5"/>
    <w:rsid w:val="00077FE7"/>
    <w:rsid w:val="00086F48"/>
    <w:rsid w:val="000A3FF1"/>
    <w:rsid w:val="000E2889"/>
    <w:rsid w:val="00113EEF"/>
    <w:rsid w:val="001328C3"/>
    <w:rsid w:val="001332AE"/>
    <w:rsid w:val="00163E67"/>
    <w:rsid w:val="00164919"/>
    <w:rsid w:val="0018084F"/>
    <w:rsid w:val="001A642F"/>
    <w:rsid w:val="0023375A"/>
    <w:rsid w:val="0026419A"/>
    <w:rsid w:val="0027094E"/>
    <w:rsid w:val="002748E7"/>
    <w:rsid w:val="00283B4E"/>
    <w:rsid w:val="00287EAF"/>
    <w:rsid w:val="0029465C"/>
    <w:rsid w:val="002C1E19"/>
    <w:rsid w:val="002F1F34"/>
    <w:rsid w:val="003275E0"/>
    <w:rsid w:val="00330ED6"/>
    <w:rsid w:val="0036730E"/>
    <w:rsid w:val="003711FE"/>
    <w:rsid w:val="00376B40"/>
    <w:rsid w:val="00377D84"/>
    <w:rsid w:val="0039699A"/>
    <w:rsid w:val="00421521"/>
    <w:rsid w:val="004360ED"/>
    <w:rsid w:val="00446DB6"/>
    <w:rsid w:val="00470F18"/>
    <w:rsid w:val="00481268"/>
    <w:rsid w:val="004965AD"/>
    <w:rsid w:val="004A20AA"/>
    <w:rsid w:val="004B0D19"/>
    <w:rsid w:val="004E5FA8"/>
    <w:rsid w:val="004E6E23"/>
    <w:rsid w:val="005150FE"/>
    <w:rsid w:val="00515A87"/>
    <w:rsid w:val="00580D9E"/>
    <w:rsid w:val="005A6D85"/>
    <w:rsid w:val="005C1A7B"/>
    <w:rsid w:val="00616496"/>
    <w:rsid w:val="00622327"/>
    <w:rsid w:val="00637C89"/>
    <w:rsid w:val="00646FE8"/>
    <w:rsid w:val="006678C4"/>
    <w:rsid w:val="00675431"/>
    <w:rsid w:val="006B0EC3"/>
    <w:rsid w:val="006E234B"/>
    <w:rsid w:val="00735861"/>
    <w:rsid w:val="00736DCE"/>
    <w:rsid w:val="0074237A"/>
    <w:rsid w:val="007663C3"/>
    <w:rsid w:val="00790E91"/>
    <w:rsid w:val="007B0236"/>
    <w:rsid w:val="007F45C5"/>
    <w:rsid w:val="007F7437"/>
    <w:rsid w:val="007F7C35"/>
    <w:rsid w:val="0080309E"/>
    <w:rsid w:val="00831716"/>
    <w:rsid w:val="00896084"/>
    <w:rsid w:val="008A7996"/>
    <w:rsid w:val="008C3F8B"/>
    <w:rsid w:val="008C77F4"/>
    <w:rsid w:val="008E6B94"/>
    <w:rsid w:val="00920071"/>
    <w:rsid w:val="009A0314"/>
    <w:rsid w:val="009B35AF"/>
    <w:rsid w:val="00A046EC"/>
    <w:rsid w:val="00A176EE"/>
    <w:rsid w:val="00A24CF9"/>
    <w:rsid w:val="00A50451"/>
    <w:rsid w:val="00A779B7"/>
    <w:rsid w:val="00A877AE"/>
    <w:rsid w:val="00AA15BD"/>
    <w:rsid w:val="00B22521"/>
    <w:rsid w:val="00BB3A04"/>
    <w:rsid w:val="00BD5B58"/>
    <w:rsid w:val="00C11381"/>
    <w:rsid w:val="00C21069"/>
    <w:rsid w:val="00C745CD"/>
    <w:rsid w:val="00CA67AC"/>
    <w:rsid w:val="00CB4628"/>
    <w:rsid w:val="00D13D73"/>
    <w:rsid w:val="00D35D80"/>
    <w:rsid w:val="00D618F8"/>
    <w:rsid w:val="00D96D46"/>
    <w:rsid w:val="00DC1BDA"/>
    <w:rsid w:val="00DC6314"/>
    <w:rsid w:val="00DE0A6D"/>
    <w:rsid w:val="00DF2011"/>
    <w:rsid w:val="00DF7097"/>
    <w:rsid w:val="00DF7D3E"/>
    <w:rsid w:val="00E229C3"/>
    <w:rsid w:val="00E60EF2"/>
    <w:rsid w:val="00E87BAD"/>
    <w:rsid w:val="00E95ABD"/>
    <w:rsid w:val="00ED488A"/>
    <w:rsid w:val="00ED6EBE"/>
    <w:rsid w:val="00EF1A10"/>
    <w:rsid w:val="00F158B5"/>
    <w:rsid w:val="00F24A1E"/>
    <w:rsid w:val="00F559A6"/>
    <w:rsid w:val="00FE7E4A"/>
    <w:rsid w:val="00FF23F6"/>
    <w:rsid w:val="00FF60BD"/>
    <w:rsid w:val="10B46D9C"/>
    <w:rsid w:val="306151E2"/>
    <w:rsid w:val="37DECF27"/>
    <w:rsid w:val="79471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E0CF"/>
  <w15:chartTrackingRefBased/>
  <w15:docId w15:val="{C2E4D47F-5F33-451C-988B-8C3660D1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D35D8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86F48"/>
    <w:rPr>
      <w:color w:val="467886" w:themeColor="hyperlink"/>
      <w:u w:val="single"/>
    </w:rPr>
  </w:style>
  <w:style w:type="character" w:styleId="UnresolvedMention">
    <w:name w:val="Unresolved Mention"/>
    <w:basedOn w:val="DefaultParagraphFont"/>
    <w:uiPriority w:val="99"/>
    <w:semiHidden/>
    <w:unhideWhenUsed/>
    <w:rsid w:val="00086F48"/>
    <w:rPr>
      <w:color w:val="605E5C"/>
      <w:shd w:val="clear" w:color="auto" w:fill="E1DFDD"/>
    </w:rPr>
  </w:style>
  <w:style w:type="paragraph" w:styleId="ListParagraph">
    <w:name w:val="List Paragraph"/>
    <w:basedOn w:val="Normal"/>
    <w:uiPriority w:val="34"/>
    <w:qFormat/>
    <w:rsid w:val="007663C3"/>
    <w:pPr>
      <w:ind w:left="720"/>
      <w:contextualSpacing/>
    </w:pPr>
  </w:style>
  <w:style w:type="character" w:styleId="CommentReference">
    <w:name w:val="annotation reference"/>
    <w:basedOn w:val="DefaultParagraphFont"/>
    <w:uiPriority w:val="99"/>
    <w:semiHidden/>
    <w:unhideWhenUsed/>
    <w:rsid w:val="00A877AE"/>
    <w:rPr>
      <w:sz w:val="16"/>
      <w:szCs w:val="16"/>
    </w:rPr>
  </w:style>
  <w:style w:type="paragraph" w:styleId="CommentText">
    <w:name w:val="annotation text"/>
    <w:basedOn w:val="Normal"/>
    <w:link w:val="CommentTextChar"/>
    <w:uiPriority w:val="99"/>
    <w:unhideWhenUsed/>
    <w:rsid w:val="00A877AE"/>
    <w:pPr>
      <w:spacing w:line="240" w:lineRule="auto"/>
    </w:pPr>
    <w:rPr>
      <w:sz w:val="20"/>
      <w:szCs w:val="20"/>
    </w:rPr>
  </w:style>
  <w:style w:type="character" w:styleId="CommentTextChar" w:customStyle="1">
    <w:name w:val="Comment Text Char"/>
    <w:basedOn w:val="DefaultParagraphFont"/>
    <w:link w:val="CommentText"/>
    <w:uiPriority w:val="99"/>
    <w:rsid w:val="00A877AE"/>
    <w:rPr>
      <w:sz w:val="20"/>
      <w:szCs w:val="20"/>
    </w:rPr>
  </w:style>
  <w:style w:type="paragraph" w:styleId="CommentSubject">
    <w:name w:val="annotation subject"/>
    <w:basedOn w:val="CommentText"/>
    <w:next w:val="CommentText"/>
    <w:link w:val="CommentSubjectChar"/>
    <w:uiPriority w:val="99"/>
    <w:semiHidden/>
    <w:unhideWhenUsed/>
    <w:rsid w:val="00A877AE"/>
    <w:rPr>
      <w:b/>
      <w:bCs/>
    </w:rPr>
  </w:style>
  <w:style w:type="character" w:styleId="CommentSubjectChar" w:customStyle="1">
    <w:name w:val="Comment Subject Char"/>
    <w:basedOn w:val="CommentTextChar"/>
    <w:link w:val="CommentSubject"/>
    <w:uiPriority w:val="99"/>
    <w:semiHidden/>
    <w:rsid w:val="00A877AE"/>
    <w:rPr>
      <w:b/>
      <w:bCs/>
      <w:sz w:val="20"/>
      <w:szCs w:val="20"/>
    </w:rPr>
  </w:style>
  <w:style w:type="character" w:styleId="FollowedHyperlink">
    <w:name w:val="FollowedHyperlink"/>
    <w:basedOn w:val="DefaultParagraphFont"/>
    <w:uiPriority w:val="99"/>
    <w:semiHidden/>
    <w:unhideWhenUsed/>
    <w:rsid w:val="0080309E"/>
    <w:rPr>
      <w:color w:val="96607D" w:themeColor="followedHyperlink"/>
      <w:u w:val="single"/>
    </w:rPr>
  </w:style>
  <w:style w:type="paragraph" w:styleId="Revision">
    <w:name w:val="Revision"/>
    <w:hidden/>
    <w:uiPriority w:val="99"/>
    <w:semiHidden/>
    <w:rsid w:val="008960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153B56B50A164CA07CDFD7FD17EA43" ma:contentTypeVersion="14" ma:contentTypeDescription="Create a new document." ma:contentTypeScope="" ma:versionID="063223c23f352eb5cdc268ac4ee53d44">
  <xsd:schema xmlns:xsd="http://www.w3.org/2001/XMLSchema" xmlns:xs="http://www.w3.org/2001/XMLSchema" xmlns:p="http://schemas.microsoft.com/office/2006/metadata/properties" xmlns:ns2="07626c2f-6f0c-4118-bb8c-5d4fcf73fde9" xmlns:ns3="8f2617c3-bb59-404f-9177-b80ab86d8f0a" targetNamespace="http://schemas.microsoft.com/office/2006/metadata/properties" ma:root="true" ma:fieldsID="a7911c4437e2899d4bcb239a5e9c1000" ns2:_="" ns3:_="">
    <xsd:import namespace="07626c2f-6f0c-4118-bb8c-5d4fcf73fde9"/>
    <xsd:import namespace="8f2617c3-bb59-404f-9177-b80ab86d8f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26c2f-6f0c-4118-bb8c-5d4fcf73f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2617c3-bb59-404f-9177-b80ab86d8f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be25a19-7812-43c5-b307-b71fd1a9995c}" ma:internalName="TaxCatchAll" ma:showField="CatchAllData" ma:web="8f2617c3-bb59-404f-9177-b80ab86d8f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626c2f-6f0c-4118-bb8c-5d4fcf73fde9">
      <Terms xmlns="http://schemas.microsoft.com/office/infopath/2007/PartnerControls"/>
    </lcf76f155ced4ddcb4097134ff3c332f>
    <TaxCatchAll xmlns="8f2617c3-bb59-404f-9177-b80ab86d8f0a" xsi:nil="true"/>
  </documentManagement>
</p:properties>
</file>

<file path=customXml/itemProps1.xml><?xml version="1.0" encoding="utf-8"?>
<ds:datastoreItem xmlns:ds="http://schemas.openxmlformats.org/officeDocument/2006/customXml" ds:itemID="{D853FFBB-EC68-4058-86B5-21E569361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26c2f-6f0c-4118-bb8c-5d4fcf73fde9"/>
    <ds:schemaRef ds:uri="8f2617c3-bb59-404f-9177-b80ab86d8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1DD13E-CBCD-46CF-BDED-05926CC41A30}">
  <ds:schemaRefs>
    <ds:schemaRef ds:uri="http://schemas.microsoft.com/sharepoint/v3/contenttype/forms"/>
  </ds:schemaRefs>
</ds:datastoreItem>
</file>

<file path=customXml/itemProps3.xml><?xml version="1.0" encoding="utf-8"?>
<ds:datastoreItem xmlns:ds="http://schemas.openxmlformats.org/officeDocument/2006/customXml" ds:itemID="{8AADB7DB-0610-417E-97B2-7281BC1A7E70}">
  <ds:schemaRefs>
    <ds:schemaRef ds:uri="http://schemas.microsoft.com/office/2006/metadata/properties"/>
    <ds:schemaRef ds:uri="http://schemas.microsoft.com/office/infopath/2007/PartnerControls"/>
    <ds:schemaRef ds:uri="07626c2f-6f0c-4118-bb8c-5d4fcf73fde9"/>
    <ds:schemaRef ds:uri="8f2617c3-bb59-404f-9177-b80ab86d8f0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Liam Page</dc:creator>
  <keywords/>
  <dc:description/>
  <lastModifiedBy>Liam Page</lastModifiedBy>
  <revision>25</revision>
  <dcterms:created xsi:type="dcterms:W3CDTF">2026-05-18T14:47:00.0000000Z</dcterms:created>
  <dcterms:modified xsi:type="dcterms:W3CDTF">2026-05-19T08:54:57.8962124Z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0x010100C2153B56B50A164CA07CDFD7FD17EA43</vt:lpwstr>
  </property>
  <property fmtid="{D5CDD505-2E9C-101B-9397-08002B2CF9AE}" pid="3" name="MediaServiceImageTags">
    <vt:lpwstr/>
  </property>
</Properties>
</file>